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3D3A" w14:textId="77777777" w:rsidR="00E01BF4" w:rsidRDefault="00E01BF4">
      <w:pPr>
        <w:rPr>
          <w:rFonts w:hint="eastAsia"/>
        </w:rPr>
      </w:pPr>
    </w:p>
    <w:p w14:paraId="0993A873" w14:textId="77777777" w:rsidR="00E01BF4" w:rsidRDefault="00E01BF4">
      <w:pPr>
        <w:rPr>
          <w:rFonts w:hint="eastAsia"/>
        </w:rPr>
      </w:pPr>
    </w:p>
    <w:p w14:paraId="00B2029C" w14:textId="77777777" w:rsidR="00E01BF4" w:rsidRDefault="00BD4C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5AF60A5" wp14:editId="141B8AB7">
            <wp:extent cx="5274310" cy="4102100"/>
            <wp:effectExtent l="0" t="0" r="2540" b="0"/>
            <wp:docPr id="4440511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05113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AC6B1" w14:textId="7BD967DF" w:rsidR="00E01BF4" w:rsidRDefault="00BD4C3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Fig </w:t>
      </w:r>
      <w:r>
        <w:rPr>
          <w:rFonts w:ascii="Times New Roman" w:hAnsi="Times New Roman" w:cs="Times New Roman" w:hint="eastAsia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. </w:t>
      </w:r>
      <w:r w:rsidRPr="00BD4C38">
        <w:rPr>
          <w:rFonts w:ascii="Times New Roman" w:hAnsi="Times New Roman" w:cs="Times New Roman"/>
          <w:b/>
          <w:bCs/>
        </w:rPr>
        <w:t>Scatter plot showing the correlation</w:t>
      </w:r>
      <w:r w:rsidR="007A4E4D" w:rsidRPr="007A4E4D">
        <w:rPr>
          <w:rFonts w:ascii="Times New Roman" w:hAnsi="Times New Roman" w:cs="Times New Roman"/>
          <w:b/>
          <w:bCs/>
        </w:rPr>
        <w:t xml:space="preserve"> between BMI and baseline hematoma volume after logarithmic transformation.</w:t>
      </w:r>
    </w:p>
    <w:p w14:paraId="46455658" w14:textId="560738DF" w:rsidR="00E01BF4" w:rsidRDefault="000E7A9B">
      <w:pPr>
        <w:rPr>
          <w:rFonts w:ascii="Times New Roman" w:hAnsi="Times New Roman" w:cs="Times New Roman"/>
        </w:rPr>
      </w:pPr>
      <w:r w:rsidRPr="000E7A9B">
        <w:rPr>
          <w:rFonts w:ascii="Times New Roman" w:hAnsi="Times New Roman" w:cs="Times New Roman"/>
        </w:rPr>
        <w:t xml:space="preserve">The analysis was performed to assess the robustness of the </w:t>
      </w:r>
      <w:r w:rsidR="00BD4C38" w:rsidRPr="00BD4C38">
        <w:rPr>
          <w:rFonts w:ascii="Times New Roman" w:hAnsi="Times New Roman" w:cs="Times New Roman"/>
        </w:rPr>
        <w:t>correlation results shown</w:t>
      </w:r>
      <w:r w:rsidRPr="000E7A9B">
        <w:rPr>
          <w:rFonts w:ascii="Times New Roman" w:hAnsi="Times New Roman" w:cs="Times New Roman"/>
        </w:rPr>
        <w:t xml:space="preserve"> in Figure 4.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Scatter plot illustrating the relationship between body mass index (BMI) and log-transformed hematoma volume.</w:t>
      </w:r>
      <w:r>
        <w:rPr>
          <w:rFonts w:ascii="Times New Roman" w:hAnsi="Times New Roman" w:cs="Times New Roman" w:hint="eastAsia"/>
        </w:rPr>
        <w:t xml:space="preserve"> Correlation coefficient: -0.128.</w:t>
      </w:r>
    </w:p>
    <w:p w14:paraId="6D0E5A16" w14:textId="77777777" w:rsidR="00E01BF4" w:rsidRDefault="00E01BF4">
      <w:pPr>
        <w:rPr>
          <w:rFonts w:ascii="Times New Roman" w:hAnsi="Times New Roman" w:cs="Times New Roman"/>
        </w:rPr>
      </w:pPr>
    </w:p>
    <w:p w14:paraId="5AA30250" w14:textId="77777777" w:rsidR="00E01BF4" w:rsidRDefault="00E01BF4">
      <w:pPr>
        <w:rPr>
          <w:rFonts w:ascii="Times New Roman" w:hAnsi="Times New Roman" w:cs="Times New Roman"/>
        </w:rPr>
      </w:pPr>
    </w:p>
    <w:p w14:paraId="3A9CAEE0" w14:textId="77777777" w:rsidR="00E01BF4" w:rsidRDefault="00BD4C3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. Univariable Cox regression analysis of all-cause mortality.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8"/>
        <w:gridCol w:w="2539"/>
      </w:tblGrid>
      <w:tr w:rsidR="00E01BF4" w14:paraId="3612D938" w14:textId="77777777">
        <w:trPr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7ED8BDC" w14:textId="77777777" w:rsidR="00E01BF4" w:rsidRDefault="00E01BF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F1B5182" w14:textId="77777777" w:rsidR="00E01BF4" w:rsidRDefault="00BD4C3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HR (95% CI)  P value</w:t>
            </w:r>
          </w:p>
        </w:tc>
      </w:tr>
      <w:tr w:rsidR="00E01BF4" w14:paraId="47481C96" w14:textId="77777777">
        <w:trPr>
          <w:tblCellSpacing w:w="15" w:type="dxa"/>
        </w:trPr>
        <w:tc>
          <w:tcPr>
            <w:tcW w:w="0" w:type="auto"/>
            <w:vAlign w:val="center"/>
          </w:tcPr>
          <w:p w14:paraId="0C240FE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OCT</w:t>
            </w:r>
          </w:p>
        </w:tc>
        <w:tc>
          <w:tcPr>
            <w:tcW w:w="0" w:type="auto"/>
            <w:vAlign w:val="center"/>
          </w:tcPr>
          <w:p w14:paraId="5E82496F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0.998 (0.975, 1.021) 0.835</w:t>
            </w:r>
          </w:p>
        </w:tc>
      </w:tr>
      <w:tr w:rsidR="00E01BF4" w14:paraId="2036BBA3" w14:textId="77777777">
        <w:trPr>
          <w:tblCellSpacing w:w="15" w:type="dxa"/>
        </w:trPr>
        <w:tc>
          <w:tcPr>
            <w:tcW w:w="0" w:type="auto"/>
            <w:vAlign w:val="center"/>
          </w:tcPr>
          <w:p w14:paraId="347D8A99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 w:hint="eastAsia"/>
              </w:rPr>
              <w:t>ge</w:t>
            </w:r>
          </w:p>
        </w:tc>
        <w:tc>
          <w:tcPr>
            <w:tcW w:w="0" w:type="auto"/>
            <w:vAlign w:val="center"/>
          </w:tcPr>
          <w:p w14:paraId="4F3ADCD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1.079 (1.059, 1.099) &lt;0.001</w:t>
            </w:r>
          </w:p>
        </w:tc>
      </w:tr>
      <w:tr w:rsidR="00E01BF4" w14:paraId="2D49FDE1" w14:textId="77777777">
        <w:trPr>
          <w:tblCellSpacing w:w="15" w:type="dxa"/>
        </w:trPr>
        <w:tc>
          <w:tcPr>
            <w:tcW w:w="0" w:type="auto"/>
            <w:vAlign w:val="center"/>
          </w:tcPr>
          <w:p w14:paraId="6EC91109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Hypertension</w:t>
            </w:r>
          </w:p>
        </w:tc>
        <w:tc>
          <w:tcPr>
            <w:tcW w:w="0" w:type="auto"/>
            <w:vAlign w:val="center"/>
          </w:tcPr>
          <w:p w14:paraId="329F88A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0.381 (0.249, 0.582) &lt;0.001</w:t>
            </w:r>
          </w:p>
        </w:tc>
      </w:tr>
      <w:tr w:rsidR="00E01BF4" w14:paraId="47842C2F" w14:textId="77777777">
        <w:trPr>
          <w:tblCellSpacing w:w="15" w:type="dxa"/>
        </w:trPr>
        <w:tc>
          <w:tcPr>
            <w:tcW w:w="0" w:type="auto"/>
            <w:vAlign w:val="center"/>
          </w:tcPr>
          <w:p w14:paraId="0A9D75B6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Diabetes</w:t>
            </w:r>
          </w:p>
        </w:tc>
        <w:tc>
          <w:tcPr>
            <w:tcW w:w="0" w:type="auto"/>
            <w:vAlign w:val="center"/>
          </w:tcPr>
          <w:p w14:paraId="55B979D8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0.671 (0.347, 1.299) 0.236</w:t>
            </w:r>
          </w:p>
        </w:tc>
      </w:tr>
      <w:tr w:rsidR="00E01BF4" w14:paraId="59CC231A" w14:textId="77777777">
        <w:trPr>
          <w:tblCellSpacing w:w="15" w:type="dxa"/>
        </w:trPr>
        <w:tc>
          <w:tcPr>
            <w:tcW w:w="0" w:type="auto"/>
            <w:vAlign w:val="center"/>
          </w:tcPr>
          <w:p w14:paraId="349FE35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Atrial fibrillation</w:t>
            </w:r>
          </w:p>
        </w:tc>
        <w:tc>
          <w:tcPr>
            <w:tcW w:w="0" w:type="auto"/>
            <w:vAlign w:val="center"/>
          </w:tcPr>
          <w:p w14:paraId="74E03E8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5.914 (2.366, 14.783) </w:t>
            </w: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E01BF4" w14:paraId="42A5CC89" w14:textId="77777777">
        <w:trPr>
          <w:tblCellSpacing w:w="15" w:type="dxa"/>
        </w:trPr>
        <w:tc>
          <w:tcPr>
            <w:tcW w:w="0" w:type="auto"/>
            <w:vAlign w:val="center"/>
          </w:tcPr>
          <w:p w14:paraId="076B76BD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Coronary heart disease</w:t>
            </w:r>
          </w:p>
        </w:tc>
        <w:tc>
          <w:tcPr>
            <w:tcW w:w="0" w:type="auto"/>
            <w:vAlign w:val="center"/>
          </w:tcPr>
          <w:p w14:paraId="40B6DF6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2.430 (1.121, 5.268) 0.024</w:t>
            </w:r>
          </w:p>
        </w:tc>
      </w:tr>
      <w:tr w:rsidR="00E01BF4" w14:paraId="47B9A41A" w14:textId="77777777">
        <w:trPr>
          <w:tblCellSpacing w:w="15" w:type="dxa"/>
        </w:trPr>
        <w:tc>
          <w:tcPr>
            <w:tcW w:w="0" w:type="auto"/>
            <w:vAlign w:val="center"/>
          </w:tcPr>
          <w:p w14:paraId="6DA4743D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Previous ICH</w:t>
            </w:r>
          </w:p>
        </w:tc>
        <w:tc>
          <w:tcPr>
            <w:tcW w:w="0" w:type="auto"/>
            <w:vAlign w:val="center"/>
          </w:tcPr>
          <w:p w14:paraId="590C4B82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2.700 (1.523, 4.788) </w:t>
            </w: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E01BF4" w14:paraId="50487353" w14:textId="77777777">
        <w:trPr>
          <w:tblCellSpacing w:w="15" w:type="dxa"/>
        </w:trPr>
        <w:tc>
          <w:tcPr>
            <w:tcW w:w="0" w:type="auto"/>
            <w:vAlign w:val="center"/>
          </w:tcPr>
          <w:p w14:paraId="37D9462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Ischemic stroke or TIA</w:t>
            </w:r>
          </w:p>
        </w:tc>
        <w:tc>
          <w:tcPr>
            <w:tcW w:w="0" w:type="auto"/>
            <w:vAlign w:val="center"/>
          </w:tcPr>
          <w:p w14:paraId="2565DFD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1.355 (0.719, 2.551) 0.347</w:t>
            </w:r>
          </w:p>
        </w:tc>
      </w:tr>
      <w:tr w:rsidR="00E01BF4" w14:paraId="516DEEF5" w14:textId="77777777">
        <w:trPr>
          <w:tblCellSpacing w:w="15" w:type="dxa"/>
        </w:trPr>
        <w:tc>
          <w:tcPr>
            <w:tcW w:w="0" w:type="auto"/>
            <w:vAlign w:val="center"/>
          </w:tcPr>
          <w:p w14:paraId="067D108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Kidney disease</w:t>
            </w:r>
          </w:p>
        </w:tc>
        <w:tc>
          <w:tcPr>
            <w:tcW w:w="0" w:type="auto"/>
            <w:vAlign w:val="center"/>
          </w:tcPr>
          <w:p w14:paraId="06F072B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1.326 (0.486, 3.620) 0.581</w:t>
            </w:r>
          </w:p>
        </w:tc>
      </w:tr>
      <w:tr w:rsidR="00E01BF4" w14:paraId="0FDDA6B8" w14:textId="77777777">
        <w:trPr>
          <w:tblCellSpacing w:w="15" w:type="dxa"/>
        </w:trPr>
        <w:tc>
          <w:tcPr>
            <w:tcW w:w="0" w:type="auto"/>
            <w:vAlign w:val="center"/>
          </w:tcPr>
          <w:p w14:paraId="01751F59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Antiplatelet drugs</w:t>
            </w:r>
          </w:p>
        </w:tc>
        <w:tc>
          <w:tcPr>
            <w:tcW w:w="0" w:type="auto"/>
            <w:vAlign w:val="center"/>
          </w:tcPr>
          <w:p w14:paraId="054053DB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1.455 (0.773, 2.742) 0.24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</w:tr>
      <w:tr w:rsidR="00E01BF4" w14:paraId="397DA6FD" w14:textId="77777777">
        <w:trPr>
          <w:tblCellSpacing w:w="15" w:type="dxa"/>
        </w:trPr>
        <w:tc>
          <w:tcPr>
            <w:tcW w:w="0" w:type="auto"/>
            <w:vAlign w:val="center"/>
          </w:tcPr>
          <w:p w14:paraId="45519B9F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</w:t>
            </w:r>
            <w:r>
              <w:rPr>
                <w:rFonts w:ascii="Times New Roman" w:hAnsi="Times New Roman" w:cs="Times New Roman" w:hint="eastAsia"/>
              </w:rPr>
              <w:t>tatins</w:t>
            </w:r>
          </w:p>
        </w:tc>
        <w:tc>
          <w:tcPr>
            <w:tcW w:w="0" w:type="auto"/>
            <w:vAlign w:val="center"/>
          </w:tcPr>
          <w:p w14:paraId="66CBF4DD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1.562 (0.754, 3.238) 0.230</w:t>
            </w:r>
          </w:p>
        </w:tc>
      </w:tr>
      <w:tr w:rsidR="00E01BF4" w14:paraId="2433B5A1" w14:textId="77777777">
        <w:trPr>
          <w:tblCellSpacing w:w="15" w:type="dxa"/>
        </w:trPr>
        <w:tc>
          <w:tcPr>
            <w:tcW w:w="0" w:type="auto"/>
            <w:vAlign w:val="center"/>
          </w:tcPr>
          <w:p w14:paraId="247C168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 w:hint="eastAsia"/>
              </w:rPr>
              <w:t>moking</w:t>
            </w:r>
          </w:p>
        </w:tc>
        <w:tc>
          <w:tcPr>
            <w:tcW w:w="0" w:type="auto"/>
            <w:vAlign w:val="center"/>
          </w:tcPr>
          <w:p w14:paraId="4779BC2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0.998 (0.638, 1.561) 0.994</w:t>
            </w:r>
          </w:p>
        </w:tc>
      </w:tr>
      <w:tr w:rsidR="00E01BF4" w14:paraId="2B521DD8" w14:textId="77777777">
        <w:trPr>
          <w:tblCellSpacing w:w="15" w:type="dxa"/>
        </w:trPr>
        <w:tc>
          <w:tcPr>
            <w:tcW w:w="0" w:type="auto"/>
            <w:vAlign w:val="center"/>
          </w:tcPr>
          <w:p w14:paraId="6ECBA15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 intake</w:t>
            </w:r>
          </w:p>
        </w:tc>
        <w:tc>
          <w:tcPr>
            <w:tcW w:w="0" w:type="auto"/>
            <w:vAlign w:val="center"/>
          </w:tcPr>
          <w:p w14:paraId="14F8E411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0.931 (0.584, 1.483) 0.763</w:t>
            </w:r>
          </w:p>
        </w:tc>
      </w:tr>
      <w:tr w:rsidR="00E01BF4" w14:paraId="1551B171" w14:textId="77777777">
        <w:trPr>
          <w:tblCellSpacing w:w="15" w:type="dxa"/>
        </w:trPr>
        <w:tc>
          <w:tcPr>
            <w:tcW w:w="0" w:type="auto"/>
            <w:vAlign w:val="center"/>
          </w:tcPr>
          <w:p w14:paraId="084FADC1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NIHSS</w:t>
            </w:r>
          </w:p>
        </w:tc>
        <w:tc>
          <w:tcPr>
            <w:tcW w:w="0" w:type="auto"/>
            <w:vAlign w:val="center"/>
          </w:tcPr>
          <w:p w14:paraId="73C9871F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1.028 (0.997, 1.060) 0.076</w:t>
            </w:r>
          </w:p>
        </w:tc>
      </w:tr>
      <w:tr w:rsidR="00E01BF4" w14:paraId="4397B8B6" w14:textId="77777777">
        <w:trPr>
          <w:tblCellSpacing w:w="15" w:type="dxa"/>
        </w:trPr>
        <w:tc>
          <w:tcPr>
            <w:tcW w:w="0" w:type="auto"/>
            <w:vAlign w:val="center"/>
          </w:tcPr>
          <w:p w14:paraId="7A10F538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INR</w:t>
            </w:r>
          </w:p>
        </w:tc>
        <w:tc>
          <w:tcPr>
            <w:tcW w:w="0" w:type="auto"/>
            <w:vAlign w:val="center"/>
          </w:tcPr>
          <w:p w14:paraId="779C55E2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1.174 (0.740, 1.860) 0.49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</w:tr>
      <w:tr w:rsidR="00E01BF4" w14:paraId="56EDC02B" w14:textId="77777777">
        <w:trPr>
          <w:tblCellSpacing w:w="15" w:type="dxa"/>
        </w:trPr>
        <w:tc>
          <w:tcPr>
            <w:tcW w:w="0" w:type="auto"/>
            <w:vAlign w:val="center"/>
          </w:tcPr>
          <w:p w14:paraId="2E95F077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PLT</w:t>
            </w:r>
          </w:p>
        </w:tc>
        <w:tc>
          <w:tcPr>
            <w:tcW w:w="0" w:type="auto"/>
            <w:vAlign w:val="center"/>
          </w:tcPr>
          <w:p w14:paraId="4936D09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0.996 (0.992, 0.999) 0.01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</w:tr>
      <w:tr w:rsidR="00E01BF4" w14:paraId="15DE4C41" w14:textId="77777777">
        <w:trPr>
          <w:tblCellSpacing w:w="15" w:type="dxa"/>
        </w:trPr>
        <w:tc>
          <w:tcPr>
            <w:tcW w:w="0" w:type="auto"/>
            <w:vAlign w:val="center"/>
          </w:tcPr>
          <w:p w14:paraId="79F2271B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r</w:t>
            </w:r>
          </w:p>
        </w:tc>
        <w:tc>
          <w:tcPr>
            <w:tcW w:w="0" w:type="auto"/>
            <w:vAlign w:val="center"/>
          </w:tcPr>
          <w:p w14:paraId="59D32FD1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1.001 (1.000, 1.002) 0.049</w:t>
            </w:r>
          </w:p>
        </w:tc>
      </w:tr>
      <w:tr w:rsidR="00E01BF4" w14:paraId="21C1F9EE" w14:textId="77777777">
        <w:trPr>
          <w:tblCellSpacing w:w="15" w:type="dxa"/>
        </w:trPr>
        <w:tc>
          <w:tcPr>
            <w:tcW w:w="0" w:type="auto"/>
            <w:vAlign w:val="center"/>
          </w:tcPr>
          <w:p w14:paraId="0C201F9A" w14:textId="5BF67547" w:rsidR="00E01BF4" w:rsidRDefault="00913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Admission blood glucose</w:t>
            </w:r>
          </w:p>
        </w:tc>
        <w:tc>
          <w:tcPr>
            <w:tcW w:w="0" w:type="auto"/>
            <w:vAlign w:val="center"/>
          </w:tcPr>
          <w:p w14:paraId="4768FD1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1.033 (0.949, 1.124) 0.455</w:t>
            </w:r>
          </w:p>
        </w:tc>
      </w:tr>
      <w:tr w:rsidR="00E01BF4" w14:paraId="37F18530" w14:textId="77777777">
        <w:trPr>
          <w:tblCellSpacing w:w="15" w:type="dxa"/>
        </w:trPr>
        <w:tc>
          <w:tcPr>
            <w:tcW w:w="0" w:type="auto"/>
            <w:vAlign w:val="center"/>
          </w:tcPr>
          <w:p w14:paraId="299DD722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Baseline hematoma volume</w:t>
            </w:r>
          </w:p>
        </w:tc>
        <w:tc>
          <w:tcPr>
            <w:tcW w:w="0" w:type="auto"/>
            <w:vAlign w:val="center"/>
          </w:tcPr>
          <w:p w14:paraId="27530B9E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1.026 (1.013, 1.038) 0.004</w:t>
            </w:r>
          </w:p>
        </w:tc>
      </w:tr>
      <w:tr w:rsidR="00E01BF4" w14:paraId="70DF1FF3" w14:textId="77777777">
        <w:trPr>
          <w:tblCellSpacing w:w="15" w:type="dxa"/>
        </w:trPr>
        <w:tc>
          <w:tcPr>
            <w:tcW w:w="0" w:type="auto"/>
            <w:vAlign w:val="center"/>
          </w:tcPr>
          <w:p w14:paraId="478F65A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>obar ICH</w:t>
            </w:r>
          </w:p>
        </w:tc>
        <w:tc>
          <w:tcPr>
            <w:tcW w:w="0" w:type="auto"/>
            <w:vAlign w:val="center"/>
          </w:tcPr>
          <w:p w14:paraId="633B314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2.895 (1.879, 4.462) &lt;0.001</w:t>
            </w:r>
          </w:p>
        </w:tc>
      </w:tr>
      <w:tr w:rsidR="00E01BF4" w14:paraId="7E0C11E8" w14:textId="77777777">
        <w:trPr>
          <w:tblCellSpacing w:w="15" w:type="dxa"/>
        </w:trPr>
        <w:tc>
          <w:tcPr>
            <w:tcW w:w="0" w:type="auto"/>
            <w:vAlign w:val="center"/>
          </w:tcPr>
          <w:p w14:paraId="3AD9AA5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szCs w:val="21"/>
              </w:rPr>
              <w:t>Deep ICH</w:t>
            </w:r>
          </w:p>
        </w:tc>
        <w:tc>
          <w:tcPr>
            <w:tcW w:w="0" w:type="auto"/>
            <w:vAlign w:val="center"/>
          </w:tcPr>
          <w:p w14:paraId="4B685EDD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0.570 (0.373, 0.870) 0.009</w:t>
            </w:r>
          </w:p>
        </w:tc>
      </w:tr>
      <w:tr w:rsidR="00E01BF4" w14:paraId="7EBEA10B" w14:textId="77777777">
        <w:trPr>
          <w:tblCellSpacing w:w="15" w:type="dxa"/>
        </w:trPr>
        <w:tc>
          <w:tcPr>
            <w:tcW w:w="0" w:type="auto"/>
            <w:vAlign w:val="center"/>
          </w:tcPr>
          <w:p w14:paraId="3017F861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仿宋" w:hAnsi="Times New Roman" w:cs="Times New Roman"/>
                <w:lang w:bidi="ar"/>
              </w:rPr>
              <w:t>Cerebellum</w:t>
            </w:r>
            <w:r>
              <w:rPr>
                <w:rFonts w:ascii="Times New Roman" w:eastAsia="仿宋" w:hAnsi="Times New Roman" w:cs="Times New Roman" w:hint="eastAsia"/>
                <w:lang w:bidi="ar"/>
              </w:rPr>
              <w:t xml:space="preserve"> ICH</w:t>
            </w:r>
          </w:p>
        </w:tc>
        <w:tc>
          <w:tcPr>
            <w:tcW w:w="0" w:type="auto"/>
            <w:vAlign w:val="center"/>
          </w:tcPr>
          <w:p w14:paraId="22A067E6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0.963 (0.420, 2.210) 0.92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</w:tr>
      <w:tr w:rsidR="00E01BF4" w14:paraId="22895783" w14:textId="77777777">
        <w:trPr>
          <w:tblCellSpacing w:w="15" w:type="dxa"/>
        </w:trPr>
        <w:tc>
          <w:tcPr>
            <w:tcW w:w="0" w:type="auto"/>
            <w:vAlign w:val="center"/>
          </w:tcPr>
          <w:p w14:paraId="72350F91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仿宋" w:hAnsi="Times New Roman" w:cs="Times New Roman"/>
                <w:lang w:bidi="ar"/>
              </w:rPr>
              <w:t>Brainstem</w:t>
            </w:r>
            <w:r>
              <w:rPr>
                <w:rFonts w:ascii="Times New Roman" w:eastAsia="仿宋" w:hAnsi="Times New Roman" w:cs="Times New Roman" w:hint="eastAsia"/>
                <w:lang w:bidi="ar"/>
              </w:rPr>
              <w:t xml:space="preserve"> ICH</w:t>
            </w:r>
          </w:p>
        </w:tc>
        <w:tc>
          <w:tcPr>
            <w:tcW w:w="0" w:type="auto"/>
            <w:vAlign w:val="center"/>
          </w:tcPr>
          <w:p w14:paraId="78A30F28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0.565 (0.229, 1.397) 0.21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</w:tr>
      <w:tr w:rsidR="00E01BF4" w14:paraId="5D9C1731" w14:textId="77777777">
        <w:trPr>
          <w:tblCellSpacing w:w="15" w:type="dxa"/>
        </w:trPr>
        <w:tc>
          <w:tcPr>
            <w:tcW w:w="0" w:type="auto"/>
            <w:vAlign w:val="center"/>
          </w:tcPr>
          <w:p w14:paraId="09EEF85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SAH</w:t>
            </w:r>
          </w:p>
        </w:tc>
        <w:tc>
          <w:tcPr>
            <w:tcW w:w="0" w:type="auto"/>
            <w:vAlign w:val="center"/>
          </w:tcPr>
          <w:p w14:paraId="2FB8BFA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2.581 (1.499, 4.444) </w:t>
            </w: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E01BF4" w14:paraId="205B7074" w14:textId="77777777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32AA3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AB9AE2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0.878 (0.826, 0.933) </w:t>
            </w: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E01BF4" w14:paraId="44B1D507" w14:textId="77777777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F5DAE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GCS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8DB6B57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0.871 (0.798, 0.951) 0.002</w:t>
            </w:r>
          </w:p>
        </w:tc>
      </w:tr>
      <w:tr w:rsidR="00E01BF4" w14:paraId="5B72CA30" w14:textId="77777777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46410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Intraventricular</w:t>
            </w:r>
            <w:r>
              <w:rPr>
                <w:rFonts w:ascii="Times New Roman" w:eastAsia="仿宋" w:hAnsi="Times New Roman" w:cs="Times New Roman" w:hint="eastAsia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38F74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1.847 (1.201, 2.840) 0.005</w:t>
            </w:r>
          </w:p>
        </w:tc>
      </w:tr>
      <w:tr w:rsidR="00E01BF4" w14:paraId="6BCC1BE2" w14:textId="77777777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C36F26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Lobar CMB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D8BEB3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1.034 (1.025, 1.043) &lt;0.001</w:t>
            </w:r>
          </w:p>
        </w:tc>
      </w:tr>
      <w:tr w:rsidR="00E01BF4" w14:paraId="0EC9AC45" w14:textId="77777777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056AB0F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Deep CMB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7ED1EF6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1.034 (1.007, 1.061) 0.01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E01BF4" w14:paraId="4888AE64" w14:textId="77777777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9E291EE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cSS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05408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3.828 (2.494, 5.875) &lt;0.001</w:t>
            </w:r>
          </w:p>
        </w:tc>
      </w:tr>
      <w:tr w:rsidR="00E01BF4" w14:paraId="79125177" w14:textId="77777777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E97132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Female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C5F34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0.865 (0.551, 1.358) 0.52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</w:tr>
      <w:tr w:rsidR="00E01BF4" w14:paraId="3984FAFC" w14:textId="77777777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CC334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OMT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AD8C83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1.038 (0.972, 1.107) 0.267</w:t>
            </w:r>
          </w:p>
        </w:tc>
      </w:tr>
    </w:tbl>
    <w:p w14:paraId="3D9D60B3" w14:textId="77777777" w:rsidR="00E01BF4" w:rsidRDefault="00BD4C3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Cs w:val="21"/>
        </w:rPr>
        <w:t>BMI, body mass index; TIA,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transient ischemic attack; ICH, intracerebral hemorrhage; GCS, Glasgow Coma Score; NIHSS, national institute of health stroke scale; OCT,</w:t>
      </w:r>
      <w:r>
        <w:rPr>
          <w:rFonts w:ascii="Times New Roman" w:hAnsi="Times New Roman" w:cs="Times New Roman"/>
          <w:szCs w:val="21"/>
        </w:rPr>
        <w:tab/>
        <w:t>time from onset to first CT; CMB, cerebral microbleed; cSS,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cortical superficial siderosis; SAH, subarachnoid hemorrhage; OMT,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time from onset to MRI</w:t>
      </w:r>
      <w:r>
        <w:rPr>
          <w:rFonts w:ascii="Times New Roman" w:hAnsi="Times New Roman" w:cs="Times New Roman" w:hint="eastAsia"/>
          <w:szCs w:val="21"/>
        </w:rPr>
        <w:t xml:space="preserve">; INR, </w:t>
      </w:r>
      <w:r>
        <w:rPr>
          <w:rFonts w:ascii="Times New Roman" w:hAnsi="Times New Roman" w:cs="Times New Roman"/>
          <w:szCs w:val="21"/>
        </w:rPr>
        <w:t>International Normalized Ratio</w:t>
      </w:r>
      <w:r>
        <w:rPr>
          <w:rFonts w:ascii="Times New Roman" w:hAnsi="Times New Roman" w:cs="Times New Roman" w:hint="eastAsia"/>
          <w:szCs w:val="21"/>
        </w:rPr>
        <w:t xml:space="preserve">; PLT, platelet; Cr, </w:t>
      </w:r>
      <w:r>
        <w:rPr>
          <w:rFonts w:ascii="Times New Roman" w:hAnsi="Times New Roman" w:cs="Times New Roman"/>
          <w:szCs w:val="21"/>
        </w:rPr>
        <w:t>creatinine.</w:t>
      </w:r>
    </w:p>
    <w:p w14:paraId="599393FC" w14:textId="77777777" w:rsidR="00E01BF4" w:rsidRDefault="00E01BF4">
      <w:pPr>
        <w:rPr>
          <w:rFonts w:ascii="Times New Roman" w:hAnsi="Times New Roman" w:cs="Times New Roman"/>
          <w:szCs w:val="21"/>
        </w:rPr>
      </w:pPr>
    </w:p>
    <w:p w14:paraId="0DA1060A" w14:textId="77777777" w:rsidR="00E01BF4" w:rsidRDefault="00E01BF4">
      <w:pPr>
        <w:rPr>
          <w:rFonts w:ascii="Times New Roman" w:hAnsi="Times New Roman" w:cs="Times New Roman"/>
        </w:rPr>
      </w:pPr>
    </w:p>
    <w:p w14:paraId="757158CA" w14:textId="77777777" w:rsidR="00E01BF4" w:rsidRDefault="00BD4C3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 w:hint="eastAsia"/>
          <w:b/>
          <w:bCs/>
        </w:rPr>
        <w:t>Multi</w:t>
      </w:r>
      <w:r>
        <w:rPr>
          <w:rFonts w:ascii="Times New Roman" w:hAnsi="Times New Roman" w:cs="Times New Roman"/>
          <w:b/>
          <w:bCs/>
        </w:rPr>
        <w:t>variable Cox regression analysis of all-cause mortality</w:t>
      </w:r>
      <w:r>
        <w:rPr>
          <w:rFonts w:ascii="Times New Roman" w:hAnsi="Times New Roman" w:cs="Times New Roman" w:hint="eastAsia"/>
          <w:b/>
          <w:bCs/>
        </w:rPr>
        <w:t xml:space="preserve"> (age included)</w:t>
      </w:r>
      <w:r>
        <w:rPr>
          <w:rFonts w:ascii="Times New Roman" w:hAnsi="Times New Roman" w:cs="Times New Roman"/>
          <w:b/>
          <w:bCs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1979"/>
        <w:gridCol w:w="1979"/>
        <w:gridCol w:w="1994"/>
      </w:tblGrid>
      <w:tr w:rsidR="00E01BF4" w14:paraId="16A67942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8682F34" w14:textId="77777777" w:rsidR="00E01BF4" w:rsidRDefault="00BD4C3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Exposure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FE78E11" w14:textId="77777777" w:rsidR="00E01BF4" w:rsidRDefault="00BD4C3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Male (n=539)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1421A83" w14:textId="77777777" w:rsidR="00E01BF4" w:rsidRDefault="00BD4C3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Female (n=300)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FFFE2A3" w14:textId="77777777" w:rsidR="00E01BF4" w:rsidRDefault="00BD4C3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Total cohort (n=839)</w:t>
            </w:r>
          </w:p>
        </w:tc>
      </w:tr>
      <w:tr w:rsidR="00E01BF4" w14:paraId="7076307B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B869E24" w14:textId="77777777" w:rsidR="00E01BF4" w:rsidRDefault="00E01B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66D714B" w14:textId="77777777" w:rsidR="00E01BF4" w:rsidRDefault="00BD4C38">
            <w:pP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HR (95%CI) p 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FA01625" w14:textId="77777777" w:rsidR="00E01BF4" w:rsidRDefault="00BD4C38">
            <w:pP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HR (95%CI) p 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B7E89B7" w14:textId="77777777" w:rsidR="00E01BF4" w:rsidRDefault="00BD4C38">
            <w:pP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HR (95%CI) p value</w:t>
            </w:r>
          </w:p>
        </w:tc>
      </w:tr>
      <w:tr w:rsidR="00E01BF4" w14:paraId="007A1D2C" w14:textId="77777777">
        <w:trPr>
          <w:tblCellSpacing w:w="15" w:type="dxa"/>
        </w:trPr>
        <w:tc>
          <w:tcPr>
            <w:tcW w:w="0" w:type="auto"/>
            <w:vAlign w:val="center"/>
          </w:tcPr>
          <w:p w14:paraId="012EDA65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Cs w:val="21"/>
              </w:rPr>
              <w:t>BMI</w:t>
            </w:r>
          </w:p>
        </w:tc>
        <w:tc>
          <w:tcPr>
            <w:tcW w:w="0" w:type="auto"/>
            <w:vAlign w:val="center"/>
          </w:tcPr>
          <w:p w14:paraId="7D7D03F8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0.984 (0.908, 1.067) 0.697</w:t>
            </w:r>
          </w:p>
        </w:tc>
        <w:tc>
          <w:tcPr>
            <w:tcW w:w="0" w:type="auto"/>
            <w:vAlign w:val="center"/>
          </w:tcPr>
          <w:p w14:paraId="400E3289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0.912 (0.806, 1.031) 0.1</w:t>
            </w:r>
            <w:r>
              <w:rPr>
                <w:rFonts w:ascii="Times New Roman" w:hAnsi="Times New Roman" w:cs="Times New Roman" w:hint="eastAsia"/>
                <w:szCs w:val="21"/>
              </w:rPr>
              <w:t>40</w:t>
            </w:r>
          </w:p>
        </w:tc>
        <w:tc>
          <w:tcPr>
            <w:tcW w:w="0" w:type="auto"/>
            <w:vAlign w:val="center"/>
          </w:tcPr>
          <w:p w14:paraId="7BB5974B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0.958 (0.898, 1.022) 0.190</w:t>
            </w:r>
          </w:p>
        </w:tc>
      </w:tr>
      <w:tr w:rsidR="00E01BF4" w14:paraId="100A3A67" w14:textId="77777777">
        <w:trPr>
          <w:tblCellSpacing w:w="15" w:type="dxa"/>
        </w:trPr>
        <w:tc>
          <w:tcPr>
            <w:tcW w:w="0" w:type="auto"/>
            <w:vAlign w:val="center"/>
          </w:tcPr>
          <w:p w14:paraId="67BDDD73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Cs w:val="21"/>
              </w:rPr>
              <w:t>Hypertension</w:t>
            </w:r>
          </w:p>
        </w:tc>
        <w:tc>
          <w:tcPr>
            <w:tcW w:w="0" w:type="auto"/>
            <w:vAlign w:val="center"/>
          </w:tcPr>
          <w:p w14:paraId="79E57505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0.375 (0.213, 0.660)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72C729DD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0.459 (0.176, 1.194) 0.110</w:t>
            </w:r>
          </w:p>
        </w:tc>
        <w:tc>
          <w:tcPr>
            <w:tcW w:w="0" w:type="auto"/>
            <w:vAlign w:val="center"/>
          </w:tcPr>
          <w:p w14:paraId="5D9DF699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0.373 (0.233, 0.596)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E01BF4" w14:paraId="23C381AF" w14:textId="77777777">
        <w:trPr>
          <w:tblCellSpacing w:w="15" w:type="dxa"/>
        </w:trPr>
        <w:tc>
          <w:tcPr>
            <w:tcW w:w="0" w:type="auto"/>
            <w:vAlign w:val="center"/>
          </w:tcPr>
          <w:p w14:paraId="736F4DB1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Cs w:val="21"/>
              </w:rPr>
              <w:t>Atrial fibrillation</w:t>
            </w:r>
          </w:p>
        </w:tc>
        <w:tc>
          <w:tcPr>
            <w:tcW w:w="0" w:type="auto"/>
            <w:vAlign w:val="center"/>
          </w:tcPr>
          <w:p w14:paraId="10047C0F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4.025 (1.211, 13.382) </w:t>
            </w:r>
            <w:r>
              <w:rPr>
                <w:rFonts w:ascii="Times New Roman" w:hAnsi="Times New Roman" w:cs="Times New Roman"/>
                <w:szCs w:val="21"/>
              </w:rPr>
              <w:lastRenderedPageBreak/>
              <w:t>0.023</w:t>
            </w:r>
          </w:p>
        </w:tc>
        <w:tc>
          <w:tcPr>
            <w:tcW w:w="0" w:type="auto"/>
            <w:vAlign w:val="center"/>
          </w:tcPr>
          <w:p w14:paraId="17180F90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3.782 (0.453, 31.582) </w:t>
            </w:r>
            <w:r>
              <w:rPr>
                <w:rFonts w:ascii="Times New Roman" w:hAnsi="Times New Roman" w:cs="Times New Roman"/>
                <w:szCs w:val="21"/>
              </w:rPr>
              <w:lastRenderedPageBreak/>
              <w:t>0.219</w:t>
            </w:r>
          </w:p>
        </w:tc>
        <w:tc>
          <w:tcPr>
            <w:tcW w:w="0" w:type="auto"/>
            <w:vAlign w:val="center"/>
          </w:tcPr>
          <w:p w14:paraId="1119BF10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4.048 (1.516, 10.807) </w:t>
            </w:r>
            <w:r>
              <w:rPr>
                <w:rFonts w:ascii="Times New Roman" w:hAnsi="Times New Roman" w:cs="Times New Roman"/>
                <w:szCs w:val="21"/>
              </w:rPr>
              <w:lastRenderedPageBreak/>
              <w:t>0.005</w:t>
            </w:r>
          </w:p>
        </w:tc>
      </w:tr>
      <w:tr w:rsidR="00E01BF4" w14:paraId="29AB2EC7" w14:textId="77777777">
        <w:trPr>
          <w:tblCellSpacing w:w="15" w:type="dxa"/>
        </w:trPr>
        <w:tc>
          <w:tcPr>
            <w:tcW w:w="0" w:type="auto"/>
            <w:vAlign w:val="center"/>
          </w:tcPr>
          <w:p w14:paraId="1E52EB3F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Cs w:val="21"/>
              </w:rPr>
              <w:lastRenderedPageBreak/>
              <w:t>Previous ICH</w:t>
            </w:r>
          </w:p>
        </w:tc>
        <w:tc>
          <w:tcPr>
            <w:tcW w:w="0" w:type="auto"/>
            <w:vAlign w:val="center"/>
          </w:tcPr>
          <w:p w14:paraId="6E178D1A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2.656 (1.259, 5.606) 0.010</w:t>
            </w:r>
          </w:p>
        </w:tc>
        <w:tc>
          <w:tcPr>
            <w:tcW w:w="0" w:type="auto"/>
            <w:vAlign w:val="center"/>
          </w:tcPr>
          <w:p w14:paraId="188D07A6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2.299 (0.731, 7.229) 0.154</w:t>
            </w:r>
          </w:p>
        </w:tc>
        <w:tc>
          <w:tcPr>
            <w:tcW w:w="0" w:type="auto"/>
            <w:vAlign w:val="center"/>
          </w:tcPr>
          <w:p w14:paraId="756B1FAD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2.734 (1.497, 4.993) 0.001</w:t>
            </w:r>
          </w:p>
        </w:tc>
      </w:tr>
      <w:tr w:rsidR="00E01BF4" w14:paraId="5C6E3A5E" w14:textId="77777777">
        <w:trPr>
          <w:tblCellSpacing w:w="15" w:type="dxa"/>
        </w:trPr>
        <w:tc>
          <w:tcPr>
            <w:tcW w:w="0" w:type="auto"/>
            <w:vAlign w:val="center"/>
          </w:tcPr>
          <w:p w14:paraId="272E56BF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Cs w:val="21"/>
              </w:rPr>
              <w:t>Baseline hematoma volume, ml</w:t>
            </w:r>
          </w:p>
        </w:tc>
        <w:tc>
          <w:tcPr>
            <w:tcW w:w="0" w:type="auto"/>
            <w:vAlign w:val="center"/>
          </w:tcPr>
          <w:p w14:paraId="37C297AF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1.001 (0.984, 1.019) 0.890</w:t>
            </w:r>
          </w:p>
        </w:tc>
        <w:tc>
          <w:tcPr>
            <w:tcW w:w="0" w:type="auto"/>
            <w:vAlign w:val="center"/>
          </w:tcPr>
          <w:p w14:paraId="3F41D430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0.988 (0.954, 1.023) 0.495</w:t>
            </w:r>
          </w:p>
        </w:tc>
        <w:tc>
          <w:tcPr>
            <w:tcW w:w="0" w:type="auto"/>
            <w:vAlign w:val="center"/>
          </w:tcPr>
          <w:p w14:paraId="5B761771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0.997 (0.982, 1.012) 0.670</w:t>
            </w:r>
          </w:p>
        </w:tc>
      </w:tr>
      <w:tr w:rsidR="00E01BF4" w14:paraId="727D0703" w14:textId="77777777">
        <w:trPr>
          <w:tblCellSpacing w:w="15" w:type="dxa"/>
        </w:trPr>
        <w:tc>
          <w:tcPr>
            <w:tcW w:w="0" w:type="auto"/>
            <w:vAlign w:val="center"/>
          </w:tcPr>
          <w:p w14:paraId="0BC20CB5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Cs w:val="21"/>
              </w:rPr>
              <w:t>Lobar ICH</w:t>
            </w:r>
          </w:p>
        </w:tc>
        <w:tc>
          <w:tcPr>
            <w:tcW w:w="0" w:type="auto"/>
            <w:vAlign w:val="center"/>
          </w:tcPr>
          <w:p w14:paraId="2E6E2617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0.882 (0.414, 1.879) 0.74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  <w:tc>
          <w:tcPr>
            <w:tcW w:w="0" w:type="auto"/>
            <w:vAlign w:val="center"/>
          </w:tcPr>
          <w:p w14:paraId="52B80BE2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2.531 (0.808, 7.928) 0.11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79ACBA89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1.266 (0.710, 2.259) 0.42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</w:tr>
      <w:tr w:rsidR="00E01BF4" w14:paraId="1DFBBC36" w14:textId="77777777">
        <w:trPr>
          <w:tblCellSpacing w:w="15" w:type="dxa"/>
        </w:trPr>
        <w:tc>
          <w:tcPr>
            <w:tcW w:w="0" w:type="auto"/>
            <w:vAlign w:val="center"/>
          </w:tcPr>
          <w:p w14:paraId="4182F800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Cs w:val="21"/>
              </w:rPr>
              <w:t>Intraventricular extension</w:t>
            </w:r>
          </w:p>
        </w:tc>
        <w:tc>
          <w:tcPr>
            <w:tcW w:w="0" w:type="auto"/>
            <w:vAlign w:val="center"/>
          </w:tcPr>
          <w:p w14:paraId="5870DFDB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1.277 (0.683, 2.388) 0.44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7D48B5D0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1.425 (0.555, 3.659) 0.46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6973E3EC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1.329 (0.812, 2.176) 0.257</w:t>
            </w:r>
          </w:p>
        </w:tc>
      </w:tr>
      <w:tr w:rsidR="00E01BF4" w14:paraId="672E1811" w14:textId="77777777">
        <w:trPr>
          <w:tblCellSpacing w:w="15" w:type="dxa"/>
        </w:trPr>
        <w:tc>
          <w:tcPr>
            <w:tcW w:w="0" w:type="auto"/>
            <w:vAlign w:val="center"/>
          </w:tcPr>
          <w:p w14:paraId="5D703789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Cs w:val="21"/>
              </w:rPr>
              <w:t>SAH</w:t>
            </w:r>
          </w:p>
        </w:tc>
        <w:tc>
          <w:tcPr>
            <w:tcW w:w="0" w:type="auto"/>
            <w:vAlign w:val="center"/>
          </w:tcPr>
          <w:p w14:paraId="350F6D65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1.226 (0.515, 2.917) 0.645</w:t>
            </w:r>
          </w:p>
        </w:tc>
        <w:tc>
          <w:tcPr>
            <w:tcW w:w="0" w:type="auto"/>
            <w:vAlign w:val="center"/>
          </w:tcPr>
          <w:p w14:paraId="2BE48160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1.255 (0.411, 3.827) 0.690</w:t>
            </w:r>
          </w:p>
        </w:tc>
        <w:tc>
          <w:tcPr>
            <w:tcW w:w="0" w:type="auto"/>
            <w:vAlign w:val="center"/>
          </w:tcPr>
          <w:p w14:paraId="784416DD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1.326 (0.694, 2.535) 0.39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</w:tr>
      <w:tr w:rsidR="00E01BF4" w14:paraId="06E9892F" w14:textId="77777777">
        <w:trPr>
          <w:tblCellSpacing w:w="15" w:type="dxa"/>
        </w:trPr>
        <w:tc>
          <w:tcPr>
            <w:tcW w:w="0" w:type="auto"/>
            <w:vAlign w:val="center"/>
          </w:tcPr>
          <w:p w14:paraId="6E5E20B6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Cs w:val="21"/>
              </w:rPr>
              <w:t>GCS</w:t>
            </w:r>
          </w:p>
        </w:tc>
        <w:tc>
          <w:tcPr>
            <w:tcW w:w="0" w:type="auto"/>
            <w:vAlign w:val="center"/>
          </w:tcPr>
          <w:p w14:paraId="2C19CC79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0.847 (0.743, 0.966) 0.013</w:t>
            </w:r>
          </w:p>
        </w:tc>
        <w:tc>
          <w:tcPr>
            <w:tcW w:w="0" w:type="auto"/>
            <w:vAlign w:val="center"/>
          </w:tcPr>
          <w:p w14:paraId="74C5F63A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0.873 (0.744, 1.023) 0.093</w:t>
            </w:r>
          </w:p>
        </w:tc>
        <w:tc>
          <w:tcPr>
            <w:tcW w:w="0" w:type="auto"/>
            <w:vAlign w:val="center"/>
          </w:tcPr>
          <w:p w14:paraId="6983F8B8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0.870 (0.789, 0.958) 0.00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</w:tr>
      <w:tr w:rsidR="00E01BF4" w14:paraId="56E5FD67" w14:textId="77777777">
        <w:trPr>
          <w:tblCellSpacing w:w="15" w:type="dxa"/>
        </w:trPr>
        <w:tc>
          <w:tcPr>
            <w:tcW w:w="0" w:type="auto"/>
            <w:vAlign w:val="center"/>
          </w:tcPr>
          <w:p w14:paraId="4840777C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0" w:type="auto"/>
            <w:vAlign w:val="center"/>
          </w:tcPr>
          <w:p w14:paraId="6C34BEB7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1.078 (1.050, 1.107) &lt;0.001</w:t>
            </w:r>
          </w:p>
        </w:tc>
        <w:tc>
          <w:tcPr>
            <w:tcW w:w="0" w:type="auto"/>
            <w:vAlign w:val="center"/>
          </w:tcPr>
          <w:p w14:paraId="3E85572F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1.050 (1.007, 1.094) 0.023</w:t>
            </w:r>
          </w:p>
        </w:tc>
        <w:tc>
          <w:tcPr>
            <w:tcW w:w="0" w:type="auto"/>
            <w:vAlign w:val="center"/>
          </w:tcPr>
          <w:p w14:paraId="1C6E84B6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1.066 (1.043, 1.089) &lt;0.001</w:t>
            </w:r>
          </w:p>
        </w:tc>
      </w:tr>
      <w:tr w:rsidR="00E01BF4" w14:paraId="6C508FDA" w14:textId="77777777">
        <w:trPr>
          <w:tblCellSpacing w:w="15" w:type="dxa"/>
        </w:trPr>
        <w:tc>
          <w:tcPr>
            <w:tcW w:w="0" w:type="auto"/>
            <w:vAlign w:val="center"/>
          </w:tcPr>
          <w:p w14:paraId="5037369A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Lobar CMB</w:t>
            </w:r>
          </w:p>
        </w:tc>
        <w:tc>
          <w:tcPr>
            <w:tcW w:w="0" w:type="auto"/>
            <w:vAlign w:val="center"/>
          </w:tcPr>
          <w:p w14:paraId="71369825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1.026 (0.999, 1.053) 0.063</w:t>
            </w:r>
          </w:p>
        </w:tc>
        <w:tc>
          <w:tcPr>
            <w:tcW w:w="0" w:type="auto"/>
            <w:vAlign w:val="center"/>
          </w:tcPr>
          <w:p w14:paraId="5677BA5A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1.032 (1.016, 1.049) 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4A34F2B9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1.025 (1.014, 1.036) &lt;0.001</w:t>
            </w:r>
          </w:p>
        </w:tc>
      </w:tr>
      <w:tr w:rsidR="00E01BF4" w14:paraId="496C72D5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9AB8691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Cs w:val="21"/>
              </w:rPr>
              <w:t>cSS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45669ED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1.375 (0.717, 2.637) 0.338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22A8F9A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1.192 (0.434, 3.272) 0.73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D3CD01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1.432 (0.858, 2.389) 0.169</w:t>
            </w:r>
          </w:p>
        </w:tc>
      </w:tr>
    </w:tbl>
    <w:p w14:paraId="607E3C8E" w14:textId="77777777" w:rsidR="00E01BF4" w:rsidRDefault="00BD4C38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BMI, body mass index; ICH, intracerebral hemorrhage; SAH, subarachnoid hemorrhage</w:t>
      </w:r>
      <w:r>
        <w:rPr>
          <w:rFonts w:ascii="Times New Roman" w:hAnsi="Times New Roman" w:cs="Times New Roman" w:hint="eastAsia"/>
          <w:szCs w:val="21"/>
        </w:rPr>
        <w:t xml:space="preserve">; GCS, </w:t>
      </w:r>
      <w:r>
        <w:rPr>
          <w:rFonts w:ascii="Times New Roman" w:hAnsi="Times New Roman" w:cs="Times New Roman"/>
          <w:szCs w:val="21"/>
        </w:rPr>
        <w:t>Glasgow Coma Score</w:t>
      </w:r>
      <w:r>
        <w:rPr>
          <w:rFonts w:ascii="Times New Roman" w:hAnsi="Times New Roman" w:cs="Times New Roman" w:hint="eastAsia"/>
          <w:szCs w:val="21"/>
        </w:rPr>
        <w:t>; CMB, cerebral microbleed; cSS, cortical superficial siderosis.</w:t>
      </w:r>
    </w:p>
    <w:p w14:paraId="65E5F1FE" w14:textId="77777777" w:rsidR="00E01BF4" w:rsidRDefault="00E01BF4">
      <w:pPr>
        <w:rPr>
          <w:rFonts w:ascii="Times New Roman" w:hAnsi="Times New Roman" w:cs="Times New Roman"/>
        </w:rPr>
      </w:pPr>
    </w:p>
    <w:p w14:paraId="41819861" w14:textId="77777777" w:rsidR="00E01BF4" w:rsidRDefault="00E01BF4">
      <w:pPr>
        <w:rPr>
          <w:rFonts w:ascii="Times New Roman" w:hAnsi="Times New Roman" w:cs="Times New Roman"/>
          <w:b/>
          <w:bCs/>
        </w:rPr>
      </w:pPr>
    </w:p>
    <w:p w14:paraId="23BFABCA" w14:textId="77777777" w:rsidR="00E01BF4" w:rsidRDefault="00BD4C3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 w:hint="eastAsia"/>
          <w:b/>
          <w:bCs/>
        </w:rPr>
        <w:t>Multi</w:t>
      </w:r>
      <w:r>
        <w:rPr>
          <w:rFonts w:ascii="Times New Roman" w:hAnsi="Times New Roman" w:cs="Times New Roman"/>
          <w:b/>
          <w:bCs/>
        </w:rPr>
        <w:t>variable Cox regression analysis of all-cause mortality</w:t>
      </w:r>
      <w:r>
        <w:rPr>
          <w:rFonts w:ascii="Times New Roman" w:hAnsi="Times New Roman" w:cs="Times New Roman" w:hint="eastAsia"/>
          <w:b/>
          <w:bCs/>
        </w:rPr>
        <w:t xml:space="preserve"> (age &lt;65)</w:t>
      </w:r>
      <w:r>
        <w:rPr>
          <w:rFonts w:ascii="Times New Roman" w:hAnsi="Times New Roman" w:cs="Times New Roman"/>
          <w:b/>
          <w:bCs/>
        </w:rPr>
        <w:t>.</w:t>
      </w:r>
    </w:p>
    <w:p w14:paraId="0B2E231A" w14:textId="77777777" w:rsidR="00E01BF4" w:rsidRDefault="00E01BF4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2"/>
        <w:gridCol w:w="1958"/>
        <w:gridCol w:w="2033"/>
        <w:gridCol w:w="1973"/>
      </w:tblGrid>
      <w:tr w:rsidR="00E01BF4" w14:paraId="1000CFB9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405513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Exposure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B08C03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Male (n=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szCs w:val="21"/>
              </w:rPr>
              <w:t>332</w:t>
            </w: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9C2914F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Female (n=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szCs w:val="21"/>
              </w:rPr>
              <w:t>164</w:t>
            </w: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84D7EA8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Total cohort (n=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szCs w:val="21"/>
              </w:rPr>
              <w:t>496</w:t>
            </w: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)</w:t>
            </w:r>
          </w:p>
        </w:tc>
      </w:tr>
      <w:tr w:rsidR="00E01BF4" w14:paraId="624D51E6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D93C6" w14:textId="77777777" w:rsidR="00E01BF4" w:rsidRDefault="00E01B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AC2D0" w14:textId="77777777" w:rsidR="00E01BF4" w:rsidRDefault="00BD4C38">
            <w:pP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</w:rPr>
              <w:t>HR (95%CI) 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05BAA" w14:textId="77777777" w:rsidR="00E01BF4" w:rsidRDefault="00BD4C38">
            <w:pP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</w:rPr>
              <w:t>HR (95%CI) 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941C7" w14:textId="77777777" w:rsidR="00E01BF4" w:rsidRDefault="00BD4C38">
            <w:pP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</w:rPr>
              <w:t>HR (95%CI) p value</w:t>
            </w:r>
          </w:p>
        </w:tc>
      </w:tr>
      <w:tr w:rsidR="00E01BF4" w14:paraId="0E76358A" w14:textId="77777777">
        <w:trPr>
          <w:tblCellSpacing w:w="15" w:type="dxa"/>
        </w:trPr>
        <w:tc>
          <w:tcPr>
            <w:tcW w:w="0" w:type="auto"/>
            <w:vAlign w:val="center"/>
          </w:tcPr>
          <w:p w14:paraId="4B4BBFE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0" w:type="auto"/>
            <w:vAlign w:val="center"/>
          </w:tcPr>
          <w:p w14:paraId="340D77C7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0.834 (0.699, 0.997) 0.04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0" w:type="auto"/>
            <w:vAlign w:val="center"/>
          </w:tcPr>
          <w:p w14:paraId="03B8E0FE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1.161 (0.859, 1.569) 0.33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0" w:type="auto"/>
            <w:vAlign w:val="center"/>
          </w:tcPr>
          <w:p w14:paraId="669C1FA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0.894 (0.770, 1.038) 0.141</w:t>
            </w:r>
          </w:p>
        </w:tc>
      </w:tr>
      <w:tr w:rsidR="00E01BF4" w14:paraId="2F693D80" w14:textId="77777777">
        <w:trPr>
          <w:tblCellSpacing w:w="15" w:type="dxa"/>
        </w:trPr>
        <w:tc>
          <w:tcPr>
            <w:tcW w:w="0" w:type="auto"/>
            <w:vAlign w:val="center"/>
          </w:tcPr>
          <w:p w14:paraId="67F09EA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color w:val="000000"/>
              </w:rPr>
              <w:t>Hypertension</w:t>
            </w:r>
          </w:p>
        </w:tc>
        <w:tc>
          <w:tcPr>
            <w:tcW w:w="0" w:type="auto"/>
            <w:vAlign w:val="center"/>
          </w:tcPr>
          <w:p w14:paraId="1502B33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0.557 (0.176, 1.770) 0.32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0" w:type="auto"/>
            <w:vAlign w:val="center"/>
          </w:tcPr>
          <w:p w14:paraId="23A17928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0.277 (0.025, 3.110) 0.29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0" w:type="auto"/>
            <w:vAlign w:val="center"/>
          </w:tcPr>
          <w:p w14:paraId="04B1ADE8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0.446 (0.167, 1.186) 0.10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</w:tr>
      <w:tr w:rsidR="00E01BF4" w14:paraId="105D05A7" w14:textId="77777777">
        <w:trPr>
          <w:tblCellSpacing w:w="15" w:type="dxa"/>
        </w:trPr>
        <w:tc>
          <w:tcPr>
            <w:tcW w:w="0" w:type="auto"/>
            <w:vAlign w:val="center"/>
          </w:tcPr>
          <w:p w14:paraId="73693562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color w:val="000000"/>
              </w:rPr>
              <w:t>Atrial fibrillation</w:t>
            </w:r>
          </w:p>
        </w:tc>
        <w:tc>
          <w:tcPr>
            <w:tcW w:w="0" w:type="auto"/>
            <w:vAlign w:val="center"/>
          </w:tcPr>
          <w:p w14:paraId="2631E14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 (0.000, Inf) 0.998</w:t>
            </w:r>
          </w:p>
        </w:tc>
        <w:tc>
          <w:tcPr>
            <w:tcW w:w="0" w:type="auto"/>
            <w:vAlign w:val="center"/>
          </w:tcPr>
          <w:p w14:paraId="629CDB47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0" w:type="auto"/>
            <w:vAlign w:val="center"/>
          </w:tcPr>
          <w:p w14:paraId="3695154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 (0.000, Inf) 0.998</w:t>
            </w:r>
          </w:p>
        </w:tc>
      </w:tr>
      <w:tr w:rsidR="00E01BF4" w14:paraId="0D2135D5" w14:textId="77777777">
        <w:trPr>
          <w:tblCellSpacing w:w="15" w:type="dxa"/>
        </w:trPr>
        <w:tc>
          <w:tcPr>
            <w:tcW w:w="0" w:type="auto"/>
            <w:vAlign w:val="center"/>
          </w:tcPr>
          <w:p w14:paraId="5BAEA37E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color w:val="000000"/>
              </w:rPr>
              <w:t>Previous ICH</w:t>
            </w:r>
          </w:p>
        </w:tc>
        <w:tc>
          <w:tcPr>
            <w:tcW w:w="0" w:type="auto"/>
            <w:vAlign w:val="center"/>
          </w:tcPr>
          <w:p w14:paraId="55C3121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3.886 (0.925, 16.327) 0.06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0" w:type="auto"/>
            <w:vAlign w:val="center"/>
          </w:tcPr>
          <w:p w14:paraId="37998C6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3.009 (0.134, 67.533) 0.48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0" w:type="auto"/>
            <w:vAlign w:val="center"/>
          </w:tcPr>
          <w:p w14:paraId="18ABAD39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3.315 (1.047, 10.497) 0.04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E01BF4" w14:paraId="2E5AB41F" w14:textId="77777777">
        <w:trPr>
          <w:tblCellSpacing w:w="15" w:type="dxa"/>
        </w:trPr>
        <w:tc>
          <w:tcPr>
            <w:tcW w:w="0" w:type="auto"/>
            <w:vAlign w:val="center"/>
          </w:tcPr>
          <w:p w14:paraId="4E1AE2D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color w:val="000000"/>
              </w:rPr>
              <w:t>Baseline hematoma volume, ml</w:t>
            </w:r>
          </w:p>
        </w:tc>
        <w:tc>
          <w:tcPr>
            <w:tcW w:w="0" w:type="auto"/>
            <w:vAlign w:val="center"/>
          </w:tcPr>
          <w:p w14:paraId="787DA10E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1.027 (0.988, 1.068) 0.177</w:t>
            </w:r>
          </w:p>
        </w:tc>
        <w:tc>
          <w:tcPr>
            <w:tcW w:w="0" w:type="auto"/>
            <w:vAlign w:val="center"/>
          </w:tcPr>
          <w:p w14:paraId="06988A7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0.968 (0.875, 1.070) 0.52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0" w:type="auto"/>
            <w:vAlign w:val="center"/>
          </w:tcPr>
          <w:p w14:paraId="25043B11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1.018 (0.985, 1.053) 0.28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E01BF4" w14:paraId="213D5DC8" w14:textId="77777777">
        <w:trPr>
          <w:tblCellSpacing w:w="15" w:type="dxa"/>
        </w:trPr>
        <w:tc>
          <w:tcPr>
            <w:tcW w:w="0" w:type="auto"/>
            <w:vAlign w:val="center"/>
          </w:tcPr>
          <w:p w14:paraId="68BCE4E6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color w:val="000000"/>
              </w:rPr>
              <w:t>Lobar ICH</w:t>
            </w:r>
          </w:p>
        </w:tc>
        <w:tc>
          <w:tcPr>
            <w:tcW w:w="0" w:type="auto"/>
            <w:vAlign w:val="center"/>
          </w:tcPr>
          <w:p w14:paraId="31A62B0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0.142 (0.014, 1.396) 0.094</w:t>
            </w:r>
          </w:p>
        </w:tc>
        <w:tc>
          <w:tcPr>
            <w:tcW w:w="0" w:type="auto"/>
            <w:vAlign w:val="center"/>
          </w:tcPr>
          <w:p w14:paraId="4ECCFBA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4.220 (0.286, 62.215) 0.294</w:t>
            </w:r>
          </w:p>
        </w:tc>
        <w:tc>
          <w:tcPr>
            <w:tcW w:w="0" w:type="auto"/>
            <w:vAlign w:val="center"/>
          </w:tcPr>
          <w:p w14:paraId="28DF7FF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0.412 (0.095, 1.789) 0.23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</w:tr>
      <w:tr w:rsidR="00E01BF4" w14:paraId="3569D3DB" w14:textId="77777777">
        <w:trPr>
          <w:tblCellSpacing w:w="15" w:type="dxa"/>
        </w:trPr>
        <w:tc>
          <w:tcPr>
            <w:tcW w:w="0" w:type="auto"/>
            <w:vAlign w:val="center"/>
          </w:tcPr>
          <w:p w14:paraId="4A4391D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color w:val="000000"/>
              </w:rPr>
              <w:lastRenderedPageBreak/>
              <w:t>intraventricular extension</w:t>
            </w:r>
          </w:p>
        </w:tc>
        <w:tc>
          <w:tcPr>
            <w:tcW w:w="0" w:type="auto"/>
            <w:vAlign w:val="center"/>
          </w:tcPr>
          <w:p w14:paraId="1D3E597E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1.021 (0.306, 3.404) 0.972</w:t>
            </w:r>
          </w:p>
        </w:tc>
        <w:tc>
          <w:tcPr>
            <w:tcW w:w="0" w:type="auto"/>
            <w:vAlign w:val="center"/>
          </w:tcPr>
          <w:p w14:paraId="7BFC0AB1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0.277 (0.008, 9.821) 0.48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0" w:type="auto"/>
            <w:vAlign w:val="center"/>
          </w:tcPr>
          <w:p w14:paraId="0F3312ED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0.760 (0.250, 2.313) 0.62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</w:tr>
      <w:tr w:rsidR="00E01BF4" w14:paraId="60CDE344" w14:textId="77777777">
        <w:trPr>
          <w:tblCellSpacing w:w="15" w:type="dxa"/>
        </w:trPr>
        <w:tc>
          <w:tcPr>
            <w:tcW w:w="0" w:type="auto"/>
            <w:vAlign w:val="center"/>
          </w:tcPr>
          <w:p w14:paraId="37F1568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color w:val="000000"/>
              </w:rPr>
              <w:t>SAH</w:t>
            </w:r>
          </w:p>
        </w:tc>
        <w:tc>
          <w:tcPr>
            <w:tcW w:w="0" w:type="auto"/>
            <w:vAlign w:val="center"/>
          </w:tcPr>
          <w:p w14:paraId="4090FD9D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1.541 (0.292, 8.123) 0.610</w:t>
            </w:r>
          </w:p>
        </w:tc>
        <w:tc>
          <w:tcPr>
            <w:tcW w:w="0" w:type="auto"/>
            <w:vAlign w:val="center"/>
          </w:tcPr>
          <w:p w14:paraId="155E4CF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 (0.000, Inf) 0.99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0" w:type="auto"/>
            <w:vAlign w:val="center"/>
          </w:tcPr>
          <w:p w14:paraId="5DBAC2BE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1.637 (0.327, 8.193) 0.54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</w:tr>
      <w:tr w:rsidR="00E01BF4" w14:paraId="08FB0EA2" w14:textId="77777777">
        <w:trPr>
          <w:tblCellSpacing w:w="15" w:type="dxa"/>
        </w:trPr>
        <w:tc>
          <w:tcPr>
            <w:tcW w:w="0" w:type="auto"/>
            <w:vAlign w:val="center"/>
          </w:tcPr>
          <w:p w14:paraId="5594854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</w:rPr>
              <w:t>GCS</w:t>
            </w:r>
          </w:p>
        </w:tc>
        <w:tc>
          <w:tcPr>
            <w:tcW w:w="0" w:type="auto"/>
            <w:vAlign w:val="center"/>
          </w:tcPr>
          <w:p w14:paraId="3DCA3CB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0.773 (0.587, 1.016) 0.065</w:t>
            </w:r>
          </w:p>
        </w:tc>
        <w:tc>
          <w:tcPr>
            <w:tcW w:w="0" w:type="auto"/>
            <w:vAlign w:val="center"/>
          </w:tcPr>
          <w:p w14:paraId="1287908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0.775 (0.477, 1.257) 0.301</w:t>
            </w:r>
          </w:p>
        </w:tc>
        <w:tc>
          <w:tcPr>
            <w:tcW w:w="0" w:type="auto"/>
            <w:vAlign w:val="center"/>
          </w:tcPr>
          <w:p w14:paraId="75C1057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0.816 (0.658, 1.013) 0.065</w:t>
            </w:r>
          </w:p>
        </w:tc>
      </w:tr>
      <w:tr w:rsidR="00E01BF4" w14:paraId="5853E4AF" w14:textId="77777777">
        <w:trPr>
          <w:tblCellSpacing w:w="15" w:type="dxa"/>
        </w:trPr>
        <w:tc>
          <w:tcPr>
            <w:tcW w:w="0" w:type="auto"/>
            <w:vAlign w:val="center"/>
          </w:tcPr>
          <w:p w14:paraId="226D0816" w14:textId="77777777" w:rsidR="00E01BF4" w:rsidRDefault="00BD4C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Lobar CMB</w:t>
            </w:r>
          </w:p>
        </w:tc>
        <w:tc>
          <w:tcPr>
            <w:tcW w:w="0" w:type="auto"/>
            <w:vAlign w:val="center"/>
          </w:tcPr>
          <w:p w14:paraId="4BDC066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1.017 (0.940, 1.101) 0.672</w:t>
            </w:r>
          </w:p>
        </w:tc>
        <w:tc>
          <w:tcPr>
            <w:tcW w:w="0" w:type="auto"/>
            <w:vAlign w:val="center"/>
          </w:tcPr>
          <w:p w14:paraId="52EEE2D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1.023 (0.975, 1.073) 0.354</w:t>
            </w:r>
          </w:p>
        </w:tc>
        <w:tc>
          <w:tcPr>
            <w:tcW w:w="0" w:type="auto"/>
            <w:vAlign w:val="center"/>
          </w:tcPr>
          <w:p w14:paraId="3181B6F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1.036 (1.011, 1.061) 0.00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E01BF4" w14:paraId="7D3B5165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79031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</w:rPr>
              <w:t>cSS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E774F76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3.299 (0.981, 11.092) 0.05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23022C2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4.107 (0.108, 156.379) 0.44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B22B7D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2.895 (0.935, 8.962) 0.065</w:t>
            </w:r>
          </w:p>
        </w:tc>
      </w:tr>
    </w:tbl>
    <w:p w14:paraId="67AE7A9D" w14:textId="2F010ECA" w:rsidR="00E01BF4" w:rsidRDefault="00BD4C38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BMI, body mass index; ICH, intracerebral hemorrhage; SAH, subarachnoid hemorrhage</w:t>
      </w:r>
      <w:r>
        <w:rPr>
          <w:rFonts w:ascii="Times New Roman" w:hAnsi="Times New Roman" w:cs="Times New Roman" w:hint="eastAsia"/>
          <w:szCs w:val="21"/>
        </w:rPr>
        <w:t xml:space="preserve">; GCS, </w:t>
      </w:r>
      <w:r>
        <w:rPr>
          <w:rFonts w:ascii="Times New Roman" w:hAnsi="Times New Roman" w:cs="Times New Roman"/>
          <w:szCs w:val="21"/>
        </w:rPr>
        <w:t>Glasgow Coma Score</w:t>
      </w:r>
      <w:r>
        <w:rPr>
          <w:rFonts w:ascii="Times New Roman" w:hAnsi="Times New Roman" w:cs="Times New Roman" w:hint="eastAsia"/>
          <w:szCs w:val="21"/>
        </w:rPr>
        <w:t xml:space="preserve">; CMB, cerebral microbleed; cSS, cortical superficial siderosis. </w:t>
      </w:r>
      <w:r>
        <w:rPr>
          <w:rFonts w:ascii="Times New Roman" w:hAnsi="Times New Roman" w:cs="Times New Roman"/>
          <w:szCs w:val="21"/>
        </w:rPr>
        <w:t>Due to the small number of patients with atrial fibrillation</w:t>
      </w:r>
      <w:r w:rsidR="001A5AAD">
        <w:rPr>
          <w:rFonts w:ascii="Times New Roman" w:hAnsi="Times New Roman" w:cs="Times New Roman" w:hint="eastAsia"/>
          <w:szCs w:val="21"/>
        </w:rPr>
        <w:t xml:space="preserve"> and </w:t>
      </w:r>
      <w:r w:rsidR="001A5AAD" w:rsidRPr="001A5AAD">
        <w:rPr>
          <w:rFonts w:ascii="Times New Roman" w:hAnsi="Times New Roman" w:cs="Times New Roman"/>
          <w:szCs w:val="21"/>
        </w:rPr>
        <w:t>subarachnoid hemorrhage (SAH)</w:t>
      </w:r>
      <w:r>
        <w:rPr>
          <w:rFonts w:ascii="Times New Roman" w:hAnsi="Times New Roman" w:cs="Times New Roman"/>
          <w:szCs w:val="21"/>
        </w:rPr>
        <w:t>, the estimated hazard ratio may be unstable or not estimable.</w:t>
      </w:r>
    </w:p>
    <w:p w14:paraId="2BA2BAAB" w14:textId="77777777" w:rsidR="00E01BF4" w:rsidRDefault="00BD4C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1CDFFF99" w14:textId="77777777" w:rsidR="00E01BF4" w:rsidRDefault="00E01BF4">
      <w:pPr>
        <w:rPr>
          <w:rFonts w:ascii="Times New Roman" w:hAnsi="Times New Roman" w:cs="Times New Roman"/>
        </w:rPr>
      </w:pPr>
    </w:p>
    <w:p w14:paraId="585D6360" w14:textId="77777777" w:rsidR="00E01BF4" w:rsidRDefault="00BD4C3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 w:hint="eastAsia"/>
          <w:b/>
          <w:bCs/>
        </w:rPr>
        <w:t>Multi</w:t>
      </w:r>
      <w:r>
        <w:rPr>
          <w:rFonts w:ascii="Times New Roman" w:hAnsi="Times New Roman" w:cs="Times New Roman"/>
          <w:b/>
          <w:bCs/>
        </w:rPr>
        <w:t>variable Cox regression analysis of all-cause mortality</w:t>
      </w:r>
      <w:r>
        <w:rPr>
          <w:rFonts w:ascii="Times New Roman" w:hAnsi="Times New Roman" w:cs="Times New Roman" w:hint="eastAsia"/>
          <w:b/>
          <w:bCs/>
        </w:rPr>
        <w:t xml:space="preserve"> (age </w:t>
      </w:r>
      <w:r>
        <w:rPr>
          <w:rFonts w:ascii="等线" w:eastAsia="等线" w:hAnsi="等线" w:cs="Times New Roman" w:hint="eastAsia"/>
          <w:b/>
          <w:bCs/>
        </w:rPr>
        <w:t>≥</w:t>
      </w:r>
      <w:r>
        <w:rPr>
          <w:rFonts w:ascii="Times New Roman" w:hAnsi="Times New Roman" w:cs="Times New Roman" w:hint="eastAsia"/>
          <w:b/>
          <w:bCs/>
        </w:rPr>
        <w:t>65)</w:t>
      </w:r>
      <w:r>
        <w:rPr>
          <w:rFonts w:ascii="Times New Roman" w:hAnsi="Times New Roman" w:cs="Times New Roman"/>
          <w:b/>
          <w:bCs/>
        </w:rPr>
        <w:t>.</w:t>
      </w:r>
    </w:p>
    <w:p w14:paraId="11BA4F11" w14:textId="77777777" w:rsidR="00E01BF4" w:rsidRDefault="00E01BF4">
      <w:pPr>
        <w:rPr>
          <w:rFonts w:ascii="Times New Roman" w:hAnsi="Times New Roman" w:cs="Times New Roma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2"/>
        <w:gridCol w:w="1955"/>
        <w:gridCol w:w="1955"/>
        <w:gridCol w:w="2054"/>
      </w:tblGrid>
      <w:tr w:rsidR="00E01BF4" w14:paraId="5BE79E46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377F5F3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Exposure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C233CA7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Male (n=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szCs w:val="21"/>
              </w:rPr>
              <w:t>207</w:t>
            </w: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EDA903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Female (n=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szCs w:val="21"/>
              </w:rPr>
              <w:t>136</w:t>
            </w: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1DA39C8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Total cohort (n=</w:t>
            </w:r>
            <w:r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szCs w:val="21"/>
              </w:rPr>
              <w:t>343</w:t>
            </w: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  <w:t>)</w:t>
            </w:r>
          </w:p>
        </w:tc>
      </w:tr>
      <w:tr w:rsidR="00E01BF4" w14:paraId="519AD473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FBD91" w14:textId="77777777" w:rsidR="00E01BF4" w:rsidRDefault="00E01BF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85138" w14:textId="77777777" w:rsidR="00E01BF4" w:rsidRDefault="00BD4C38">
            <w:pP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</w:rPr>
              <w:t>HR (95%CI) 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0C09C" w14:textId="77777777" w:rsidR="00E01BF4" w:rsidRDefault="00BD4C38">
            <w:pP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</w:rPr>
              <w:t>HR (95%CI) 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A16D5" w14:textId="77777777" w:rsidR="00E01BF4" w:rsidRDefault="00BD4C38">
            <w:pPr>
              <w:rPr>
                <w:rFonts w:ascii="Times New Roman" w:eastAsia="微软雅黑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</w:rPr>
              <w:t>HR (95%CI) p value</w:t>
            </w:r>
          </w:p>
        </w:tc>
      </w:tr>
      <w:tr w:rsidR="00E01BF4" w14:paraId="04F5AC13" w14:textId="77777777">
        <w:trPr>
          <w:tblCellSpacing w:w="15" w:type="dxa"/>
        </w:trPr>
        <w:tc>
          <w:tcPr>
            <w:tcW w:w="0" w:type="auto"/>
            <w:vAlign w:val="center"/>
          </w:tcPr>
          <w:p w14:paraId="3BD52F4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0" w:type="auto"/>
            <w:vAlign w:val="center"/>
          </w:tcPr>
          <w:p w14:paraId="7C834EB1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1.025 (0.928, 1.132) 0.62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0" w:type="auto"/>
            <w:vAlign w:val="center"/>
          </w:tcPr>
          <w:p w14:paraId="546EDA5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0.886 (0.766, 1.024) 0.10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0" w:type="auto"/>
            <w:vAlign w:val="center"/>
          </w:tcPr>
          <w:p w14:paraId="3BBAB67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0.974 (0.902, 1.052) 0.50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E01BF4" w14:paraId="5BF6FCAD" w14:textId="77777777">
        <w:trPr>
          <w:tblCellSpacing w:w="15" w:type="dxa"/>
        </w:trPr>
        <w:tc>
          <w:tcPr>
            <w:tcW w:w="0" w:type="auto"/>
            <w:vAlign w:val="center"/>
          </w:tcPr>
          <w:p w14:paraId="5FD7100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 w:hint="eastAsia"/>
              </w:rPr>
              <w:t>ypertension</w:t>
            </w:r>
          </w:p>
        </w:tc>
        <w:tc>
          <w:tcPr>
            <w:tcW w:w="0" w:type="auto"/>
            <w:vAlign w:val="center"/>
          </w:tcPr>
          <w:p w14:paraId="588E75B8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0.385 (0.200, 0.740) 0.004</w:t>
            </w:r>
          </w:p>
        </w:tc>
        <w:tc>
          <w:tcPr>
            <w:tcW w:w="0" w:type="auto"/>
            <w:vAlign w:val="center"/>
          </w:tcPr>
          <w:p w14:paraId="6C46EEE1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0.359 (0.105, 1.224) 0.10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0" w:type="auto"/>
            <w:vAlign w:val="center"/>
          </w:tcPr>
          <w:p w14:paraId="7847222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0.370 (0.215, 0.637) </w:t>
            </w: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E01BF4" w14:paraId="4602D9B6" w14:textId="77777777">
        <w:trPr>
          <w:tblCellSpacing w:w="15" w:type="dxa"/>
        </w:trPr>
        <w:tc>
          <w:tcPr>
            <w:tcW w:w="0" w:type="auto"/>
            <w:vAlign w:val="center"/>
          </w:tcPr>
          <w:p w14:paraId="2D485B1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color w:val="000000"/>
              </w:rPr>
              <w:t>Atrial fibrillation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BDAED2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7.139 (1.980, 25.740) 0.00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0" w:type="auto"/>
            <w:vAlign w:val="center"/>
          </w:tcPr>
          <w:p w14:paraId="28C7BCD1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4.516 (0.479, 42.607) 0.188</w:t>
            </w:r>
          </w:p>
        </w:tc>
        <w:tc>
          <w:tcPr>
            <w:tcW w:w="0" w:type="auto"/>
            <w:vAlign w:val="center"/>
          </w:tcPr>
          <w:p w14:paraId="11A36FC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5.293 (1.977, 14.171) </w:t>
            </w: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</w:tr>
      <w:tr w:rsidR="00E01BF4" w14:paraId="1B8713C1" w14:textId="77777777">
        <w:trPr>
          <w:tblCellSpacing w:w="15" w:type="dxa"/>
        </w:trPr>
        <w:tc>
          <w:tcPr>
            <w:tcW w:w="0" w:type="auto"/>
            <w:vAlign w:val="center"/>
          </w:tcPr>
          <w:p w14:paraId="76670776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color w:val="000000"/>
              </w:rPr>
              <w:t>Previous ICH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9962CBB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1.624 (0.618, 4.267) 0.325</w:t>
            </w:r>
          </w:p>
        </w:tc>
        <w:tc>
          <w:tcPr>
            <w:tcW w:w="0" w:type="auto"/>
            <w:vAlign w:val="center"/>
          </w:tcPr>
          <w:p w14:paraId="413EED4E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2.205 (0.505, 9.615) 0.29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0" w:type="auto"/>
            <w:vAlign w:val="center"/>
          </w:tcPr>
          <w:p w14:paraId="2622AE57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2.003 (0.952, 4.215) 0.067</w:t>
            </w:r>
          </w:p>
        </w:tc>
      </w:tr>
      <w:tr w:rsidR="00E01BF4" w14:paraId="4F3E5EA7" w14:textId="77777777">
        <w:trPr>
          <w:tblCellSpacing w:w="15" w:type="dxa"/>
        </w:trPr>
        <w:tc>
          <w:tcPr>
            <w:tcW w:w="0" w:type="auto"/>
            <w:vAlign w:val="center"/>
          </w:tcPr>
          <w:p w14:paraId="280D85EB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微软雅黑" w:hAnsi="Times New Roman" w:cs="Times New Roman"/>
                <w:color w:val="000000"/>
              </w:rPr>
              <w:t>Baseline hematoma volume, ml</w:t>
            </w:r>
          </w:p>
        </w:tc>
        <w:tc>
          <w:tcPr>
            <w:tcW w:w="0" w:type="auto"/>
            <w:vAlign w:val="center"/>
          </w:tcPr>
          <w:p w14:paraId="29D741B1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1.002 (0.983, 1.022) 0.8</w:t>
            </w:r>
            <w:r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0" w:type="auto"/>
            <w:vAlign w:val="center"/>
          </w:tcPr>
          <w:p w14:paraId="41FFFB6B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0.999 (0.959, 1.041) 0.96</w:t>
            </w: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0" w:type="auto"/>
            <w:vAlign w:val="center"/>
          </w:tcPr>
          <w:p w14:paraId="145D02B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1.001 (0.984, 1.018) 0.942</w:t>
            </w:r>
          </w:p>
        </w:tc>
      </w:tr>
      <w:tr w:rsidR="00E01BF4" w14:paraId="5AA863FF" w14:textId="77777777">
        <w:trPr>
          <w:tblCellSpacing w:w="15" w:type="dxa"/>
        </w:trPr>
        <w:tc>
          <w:tcPr>
            <w:tcW w:w="0" w:type="auto"/>
            <w:vAlign w:val="center"/>
          </w:tcPr>
          <w:p w14:paraId="26C218A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>obar ICH</w:t>
            </w:r>
          </w:p>
        </w:tc>
        <w:tc>
          <w:tcPr>
            <w:tcW w:w="0" w:type="auto"/>
            <w:vAlign w:val="center"/>
          </w:tcPr>
          <w:p w14:paraId="7F381B99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1.452 (0.643, 3.276) 0.369</w:t>
            </w:r>
          </w:p>
        </w:tc>
        <w:tc>
          <w:tcPr>
            <w:tcW w:w="0" w:type="auto"/>
            <w:vAlign w:val="center"/>
          </w:tcPr>
          <w:p w14:paraId="2687BC7D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1.544 (0.385, 6.191) 0.540</w:t>
            </w:r>
          </w:p>
        </w:tc>
        <w:tc>
          <w:tcPr>
            <w:tcW w:w="0" w:type="auto"/>
            <w:vAlign w:val="center"/>
          </w:tcPr>
          <w:p w14:paraId="4056BD49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1.468 (0.765, 2.817) 0.248</w:t>
            </w:r>
          </w:p>
        </w:tc>
      </w:tr>
      <w:tr w:rsidR="00E01BF4" w14:paraId="4AAD9D4D" w14:textId="77777777">
        <w:trPr>
          <w:tblCellSpacing w:w="15" w:type="dxa"/>
        </w:trPr>
        <w:tc>
          <w:tcPr>
            <w:tcW w:w="0" w:type="auto"/>
            <w:vAlign w:val="center"/>
          </w:tcPr>
          <w:p w14:paraId="09111C9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ntraventricular extension</w:t>
            </w:r>
          </w:p>
        </w:tc>
        <w:tc>
          <w:tcPr>
            <w:tcW w:w="0" w:type="auto"/>
            <w:vAlign w:val="center"/>
          </w:tcPr>
          <w:p w14:paraId="7083408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1.369 (0.639, 2.934) 0.419</w:t>
            </w:r>
          </w:p>
        </w:tc>
        <w:tc>
          <w:tcPr>
            <w:tcW w:w="0" w:type="auto"/>
            <w:vAlign w:val="center"/>
          </w:tcPr>
          <w:p w14:paraId="764F22D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1.953 (0.679, 5.622) 0.214</w:t>
            </w:r>
          </w:p>
        </w:tc>
        <w:tc>
          <w:tcPr>
            <w:tcW w:w="0" w:type="auto"/>
            <w:vAlign w:val="center"/>
          </w:tcPr>
          <w:p w14:paraId="54F80A3D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1.482 (0.841, 2.613) 0.17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E01BF4" w14:paraId="14F0BA8E" w14:textId="77777777">
        <w:trPr>
          <w:tblCellSpacing w:w="15" w:type="dxa"/>
        </w:trPr>
        <w:tc>
          <w:tcPr>
            <w:tcW w:w="0" w:type="auto"/>
            <w:vAlign w:val="center"/>
          </w:tcPr>
          <w:p w14:paraId="01787655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SAH</w:t>
            </w:r>
          </w:p>
        </w:tc>
        <w:tc>
          <w:tcPr>
            <w:tcW w:w="0" w:type="auto"/>
            <w:vAlign w:val="center"/>
          </w:tcPr>
          <w:p w14:paraId="056048D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1.653 (0.606, 4.511) 0.326</w:t>
            </w:r>
          </w:p>
        </w:tc>
        <w:tc>
          <w:tcPr>
            <w:tcW w:w="0" w:type="auto"/>
            <w:vAlign w:val="center"/>
          </w:tcPr>
          <w:p w14:paraId="59D6144D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1.355 (0.435, 4.222) 0.60</w:t>
            </w: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0" w:type="auto"/>
            <w:vAlign w:val="center"/>
          </w:tcPr>
          <w:p w14:paraId="04D5B0E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1.500 (0.735, 3.064) 0.265</w:t>
            </w:r>
          </w:p>
        </w:tc>
      </w:tr>
      <w:tr w:rsidR="00E01BF4" w14:paraId="71F0FADF" w14:textId="77777777">
        <w:trPr>
          <w:tblCellSpacing w:w="15" w:type="dxa"/>
        </w:trPr>
        <w:tc>
          <w:tcPr>
            <w:tcW w:w="0" w:type="auto"/>
            <w:vAlign w:val="center"/>
          </w:tcPr>
          <w:p w14:paraId="7231A03E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GCS </w:t>
            </w:r>
          </w:p>
        </w:tc>
        <w:tc>
          <w:tcPr>
            <w:tcW w:w="0" w:type="auto"/>
            <w:vAlign w:val="center"/>
          </w:tcPr>
          <w:p w14:paraId="74DD4F60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0.923 (0.792, 1.076) </w:t>
            </w:r>
            <w:r>
              <w:rPr>
                <w:rFonts w:ascii="Times New Roman" w:hAnsi="Times New Roman" w:cs="Times New Roman"/>
              </w:rPr>
              <w:lastRenderedPageBreak/>
              <w:t>0.30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0" w:type="auto"/>
            <w:vAlign w:val="center"/>
          </w:tcPr>
          <w:p w14:paraId="693B0298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0.842 (0.700, 1.013) </w:t>
            </w:r>
            <w:r>
              <w:rPr>
                <w:rFonts w:ascii="Times New Roman" w:hAnsi="Times New Roman" w:cs="Times New Roman"/>
              </w:rPr>
              <w:lastRenderedPageBreak/>
              <w:t>0.068</w:t>
            </w:r>
          </w:p>
        </w:tc>
        <w:tc>
          <w:tcPr>
            <w:tcW w:w="0" w:type="auto"/>
            <w:vAlign w:val="center"/>
          </w:tcPr>
          <w:p w14:paraId="17DF70A4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0.893 (0.798, 0.998) </w:t>
            </w:r>
            <w:r>
              <w:rPr>
                <w:rFonts w:ascii="Times New Roman" w:hAnsi="Times New Roman" w:cs="Times New Roman"/>
              </w:rPr>
              <w:lastRenderedPageBreak/>
              <w:t>0.045</w:t>
            </w:r>
          </w:p>
        </w:tc>
      </w:tr>
      <w:tr w:rsidR="00E01BF4" w14:paraId="380E9966" w14:textId="77777777">
        <w:trPr>
          <w:tblCellSpacing w:w="15" w:type="dxa"/>
        </w:trPr>
        <w:tc>
          <w:tcPr>
            <w:tcW w:w="0" w:type="auto"/>
            <w:vAlign w:val="center"/>
          </w:tcPr>
          <w:p w14:paraId="44D53F2A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Lobar CMB</w:t>
            </w:r>
          </w:p>
        </w:tc>
        <w:tc>
          <w:tcPr>
            <w:tcW w:w="0" w:type="auto"/>
            <w:vAlign w:val="center"/>
          </w:tcPr>
          <w:p w14:paraId="43E4F55D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1.020 (0.991, 1.049) 0.177</w:t>
            </w:r>
          </w:p>
        </w:tc>
        <w:tc>
          <w:tcPr>
            <w:tcW w:w="0" w:type="auto"/>
            <w:vAlign w:val="center"/>
          </w:tcPr>
          <w:p w14:paraId="41A5D916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1.032 (1.009, 1.056) 0.006</w:t>
            </w:r>
          </w:p>
        </w:tc>
        <w:tc>
          <w:tcPr>
            <w:tcW w:w="0" w:type="auto"/>
            <w:vAlign w:val="center"/>
          </w:tcPr>
          <w:p w14:paraId="1285F4D7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1.024 (1.009, 1.040) 0.00</w:t>
            </w: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E01BF4" w14:paraId="6CE28AB0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31FA7DC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cSS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077798B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1.051 (0.488, 2.262) 0.899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27E7C12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0.899 (0.282, 2.868) 0.857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96AAFAE" w14:textId="77777777" w:rsidR="00E01BF4" w:rsidRDefault="00BD4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1.150 (0.636, 2.079) 0.64</w:t>
            </w: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</w:tbl>
    <w:p w14:paraId="49EF7208" w14:textId="77777777" w:rsidR="00E01BF4" w:rsidRDefault="00BD4C38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BMI, body mass index; ICH, intracerebral hemorrhage; SAH, subarachnoid hemorrhage</w:t>
      </w:r>
      <w:r>
        <w:rPr>
          <w:rFonts w:ascii="Times New Roman" w:hAnsi="Times New Roman" w:cs="Times New Roman" w:hint="eastAsia"/>
          <w:szCs w:val="21"/>
        </w:rPr>
        <w:t xml:space="preserve">; GCS, </w:t>
      </w:r>
      <w:r>
        <w:rPr>
          <w:rFonts w:ascii="Times New Roman" w:hAnsi="Times New Roman" w:cs="Times New Roman"/>
          <w:szCs w:val="21"/>
        </w:rPr>
        <w:t>Glasgow Coma Score</w:t>
      </w:r>
      <w:r>
        <w:rPr>
          <w:rFonts w:ascii="Times New Roman" w:hAnsi="Times New Roman" w:cs="Times New Roman" w:hint="eastAsia"/>
          <w:szCs w:val="21"/>
        </w:rPr>
        <w:t>; CMB, cerebral microbleed; cSS, cortical superficial siderosis.</w:t>
      </w:r>
    </w:p>
    <w:p w14:paraId="01F66C8F" w14:textId="77777777" w:rsidR="00E01BF4" w:rsidRDefault="00E01BF4">
      <w:pPr>
        <w:rPr>
          <w:rFonts w:ascii="Times New Roman" w:hAnsi="Times New Roman" w:cs="Times New Roman"/>
        </w:rPr>
      </w:pPr>
    </w:p>
    <w:sectPr w:rsidR="00E01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E0"/>
    <w:rsid w:val="000020BE"/>
    <w:rsid w:val="00010639"/>
    <w:rsid w:val="00023DAE"/>
    <w:rsid w:val="000A180A"/>
    <w:rsid w:val="000C6A32"/>
    <w:rsid w:val="000E7A9B"/>
    <w:rsid w:val="00111381"/>
    <w:rsid w:val="0011279C"/>
    <w:rsid w:val="00131848"/>
    <w:rsid w:val="0013558C"/>
    <w:rsid w:val="001A5AAD"/>
    <w:rsid w:val="001D58D3"/>
    <w:rsid w:val="001F7507"/>
    <w:rsid w:val="002232D6"/>
    <w:rsid w:val="00245CAC"/>
    <w:rsid w:val="00272632"/>
    <w:rsid w:val="002954C8"/>
    <w:rsid w:val="002E729A"/>
    <w:rsid w:val="00346BD3"/>
    <w:rsid w:val="003B336A"/>
    <w:rsid w:val="004F1D77"/>
    <w:rsid w:val="00542F08"/>
    <w:rsid w:val="0066204F"/>
    <w:rsid w:val="00676AB3"/>
    <w:rsid w:val="006948A1"/>
    <w:rsid w:val="006A2F47"/>
    <w:rsid w:val="00731DC6"/>
    <w:rsid w:val="00744AC4"/>
    <w:rsid w:val="007A4E4D"/>
    <w:rsid w:val="007E5003"/>
    <w:rsid w:val="007E53C1"/>
    <w:rsid w:val="00883BBB"/>
    <w:rsid w:val="008B1693"/>
    <w:rsid w:val="00913E2C"/>
    <w:rsid w:val="00922832"/>
    <w:rsid w:val="00924EEB"/>
    <w:rsid w:val="0096466E"/>
    <w:rsid w:val="009968A1"/>
    <w:rsid w:val="009D0680"/>
    <w:rsid w:val="00A01257"/>
    <w:rsid w:val="00A52981"/>
    <w:rsid w:val="00A850C4"/>
    <w:rsid w:val="00B302A1"/>
    <w:rsid w:val="00BD4C38"/>
    <w:rsid w:val="00BE561A"/>
    <w:rsid w:val="00C07F59"/>
    <w:rsid w:val="00C20C63"/>
    <w:rsid w:val="00C579E0"/>
    <w:rsid w:val="00C75D51"/>
    <w:rsid w:val="00CC28FF"/>
    <w:rsid w:val="00CE01D9"/>
    <w:rsid w:val="00CE22E3"/>
    <w:rsid w:val="00DA0C17"/>
    <w:rsid w:val="00DF0DB1"/>
    <w:rsid w:val="00E01BF4"/>
    <w:rsid w:val="00E04D6E"/>
    <w:rsid w:val="00E324FA"/>
    <w:rsid w:val="00EB738E"/>
    <w:rsid w:val="00F47FD5"/>
    <w:rsid w:val="0EE8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3D31F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13">
    <w:name w:val="修订1"/>
    <w:hidden/>
    <w:uiPriority w:val="99"/>
    <w:semiHidden/>
    <w:rPr>
      <w:kern w:val="2"/>
      <w:sz w:val="21"/>
      <w:szCs w:val="22"/>
      <w:lang w:eastAsia="zh-CN"/>
    </w:rPr>
  </w:style>
  <w:style w:type="paragraph" w:styleId="af0">
    <w:name w:val="Revision"/>
    <w:hidden/>
    <w:uiPriority w:val="99"/>
    <w:unhideWhenUsed/>
    <w:rsid w:val="000E7A9B"/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5634</Characters>
  <Application>Microsoft Office Word</Application>
  <DocSecurity>0</DocSecurity>
  <Lines>433</Lines>
  <Paragraphs>221</Paragraphs>
  <ScaleCrop>false</ScaleCrop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2026-08-26T08:10:00Z</dcterms:created>
  <dcterms:modified xsi:type="dcterms:W3CDTF">2026-09-04T03:34:00Z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7d49da64-c48f-4d68-8e28-b49134758b97</vt:lpwstr>
  </property>
</Properties>
</file>